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7C8D5" w14:textId="655B06FA" w:rsidR="005857F6" w:rsidRPr="00863065" w:rsidRDefault="005857F6" w:rsidP="005857F6">
      <w:pPr>
        <w:pStyle w:val="a7"/>
        <w:tabs>
          <w:tab w:val="left" w:pos="709"/>
          <w:tab w:val="right" w:pos="9639"/>
        </w:tabs>
        <w:wordWrap w:val="0"/>
        <w:spacing w:after="0"/>
        <w:ind w:right="120"/>
        <w:jc w:val="right"/>
        <w:rPr>
          <w:rFonts w:cs="Arial"/>
        </w:rPr>
      </w:pPr>
      <w:r w:rsidRPr="00863065">
        <w:rPr>
          <w:rFonts w:cs="Arial"/>
        </w:rPr>
        <w:t>3GPP TSG-RAN</w:t>
      </w:r>
      <w:r>
        <w:rPr>
          <w:rFonts w:cs="Arial" w:hint="eastAsia"/>
        </w:rPr>
        <w:t xml:space="preserve"> WG2 </w:t>
      </w:r>
      <w:r w:rsidRPr="00863065">
        <w:rPr>
          <w:rFonts w:cs="Arial"/>
        </w:rPr>
        <w:t>#</w:t>
      </w:r>
      <w:r>
        <w:rPr>
          <w:rFonts w:cs="Arial"/>
        </w:rPr>
        <w:t>1</w:t>
      </w:r>
      <w:r w:rsidR="00D40190">
        <w:rPr>
          <w:rFonts w:cs="Arial"/>
        </w:rPr>
        <w:t>26</w:t>
      </w:r>
      <w:r w:rsidRPr="00863065">
        <w:rPr>
          <w:rFonts w:cs="Arial"/>
        </w:rPr>
        <w:tab/>
        <w:t>R</w:t>
      </w:r>
      <w:r>
        <w:rPr>
          <w:rFonts w:cs="Arial" w:hint="eastAsia"/>
        </w:rPr>
        <w:t>2</w:t>
      </w:r>
      <w:r w:rsidRPr="00863065">
        <w:rPr>
          <w:rFonts w:cs="Arial"/>
        </w:rPr>
        <w:t>-</w:t>
      </w:r>
      <w:r>
        <w:rPr>
          <w:rFonts w:cs="Arial"/>
        </w:rPr>
        <w:t>2</w:t>
      </w:r>
      <w:r w:rsidR="00D40190">
        <w:rPr>
          <w:rFonts w:cs="Arial"/>
        </w:rPr>
        <w:t>4</w:t>
      </w:r>
      <w:r w:rsidR="00A24864">
        <w:rPr>
          <w:rFonts w:cs="Arial"/>
        </w:rPr>
        <w:t>05604</w:t>
      </w:r>
    </w:p>
    <w:p w14:paraId="298061C1" w14:textId="6BBD16A0" w:rsidR="005857F6" w:rsidRPr="00863065" w:rsidRDefault="00D40190" w:rsidP="005857F6">
      <w:pPr>
        <w:pStyle w:val="a7"/>
        <w:tabs>
          <w:tab w:val="left" w:pos="709"/>
          <w:tab w:val="right" w:pos="9639"/>
        </w:tabs>
        <w:spacing w:after="0"/>
        <w:jc w:val="left"/>
        <w:rPr>
          <w:rFonts w:cs="Arial"/>
          <w:lang w:val="en-US"/>
        </w:rPr>
      </w:pPr>
      <w:r>
        <w:rPr>
          <w:rFonts w:cs="Arial"/>
          <w:lang w:val="en-US"/>
        </w:rPr>
        <w:t>Fukuoka</w:t>
      </w:r>
      <w:r w:rsidR="005857F6">
        <w:rPr>
          <w:rFonts w:cs="Arial"/>
          <w:lang w:val="en-US"/>
        </w:rPr>
        <w:t xml:space="preserve">, </w:t>
      </w:r>
      <w:r>
        <w:rPr>
          <w:rFonts w:cs="Arial"/>
          <w:lang w:val="en-US"/>
        </w:rPr>
        <w:t>Japan</w:t>
      </w:r>
      <w:r w:rsidR="005857F6">
        <w:rPr>
          <w:rFonts w:cs="Arial"/>
          <w:lang w:val="en-US"/>
        </w:rPr>
        <w:t>, 2</w:t>
      </w:r>
      <w:r>
        <w:rPr>
          <w:rFonts w:cs="Arial"/>
          <w:lang w:val="en-US"/>
        </w:rPr>
        <w:t>0</w:t>
      </w:r>
      <w:r w:rsidR="005857F6">
        <w:rPr>
          <w:rFonts w:cs="Arial"/>
          <w:vertAlign w:val="superscript"/>
          <w:lang w:val="en-US"/>
        </w:rPr>
        <w:t>th</w:t>
      </w:r>
      <w:r w:rsidR="005857F6">
        <w:rPr>
          <w:rFonts w:cs="Arial" w:hint="eastAsia"/>
          <w:lang w:val="en-US"/>
        </w:rPr>
        <w:t xml:space="preserve"> </w:t>
      </w:r>
      <w:r w:rsidR="005857F6">
        <w:rPr>
          <w:rFonts w:cs="Arial"/>
          <w:lang w:val="en-US"/>
        </w:rPr>
        <w:t>–</w:t>
      </w:r>
      <w:r w:rsidR="005857F6">
        <w:rPr>
          <w:rFonts w:cs="Arial" w:hint="eastAsia"/>
          <w:lang w:val="en-US"/>
        </w:rPr>
        <w:t xml:space="preserve"> </w:t>
      </w:r>
      <w:r>
        <w:rPr>
          <w:rFonts w:cs="Arial"/>
          <w:lang w:val="en-US"/>
        </w:rPr>
        <w:t>24</w:t>
      </w:r>
      <w:r w:rsidRPr="00D40190">
        <w:rPr>
          <w:rFonts w:cs="Arial"/>
          <w:vertAlign w:val="superscript"/>
          <w:lang w:val="en-US"/>
        </w:rPr>
        <w:t>th</w:t>
      </w:r>
      <w:r>
        <w:rPr>
          <w:rFonts w:cs="Arial"/>
          <w:lang w:val="en-US"/>
        </w:rPr>
        <w:t xml:space="preserve"> </w:t>
      </w:r>
      <w:r w:rsidR="005857F6">
        <w:rPr>
          <w:rFonts w:cs="Arial"/>
          <w:lang w:val="en-US"/>
        </w:rPr>
        <w:t>Ma</w:t>
      </w:r>
      <w:r>
        <w:rPr>
          <w:rFonts w:cs="Arial"/>
          <w:lang w:val="en-US"/>
        </w:rPr>
        <w:t>y</w:t>
      </w:r>
      <w:r w:rsidR="005857F6" w:rsidRPr="00802E96">
        <w:rPr>
          <w:rFonts w:cs="Arial"/>
          <w:lang w:val="en-US"/>
        </w:rPr>
        <w:t xml:space="preserve"> 20</w:t>
      </w:r>
      <w:r w:rsidR="005857F6">
        <w:rPr>
          <w:rFonts w:cs="Arial"/>
          <w:lang w:val="en-US"/>
        </w:rPr>
        <w:t>2</w:t>
      </w:r>
      <w:r>
        <w:rPr>
          <w:rFonts w:cs="Arial"/>
          <w:lang w:val="en-US"/>
        </w:rPr>
        <w:t>4</w:t>
      </w:r>
    </w:p>
    <w:p w14:paraId="3AF895BC" w14:textId="77777777" w:rsidR="007E2FC8" w:rsidRPr="00863065" w:rsidRDefault="007E2FC8" w:rsidP="007E2FC8">
      <w:pPr>
        <w:pStyle w:val="a7"/>
        <w:pBdr>
          <w:bottom w:val="single" w:sz="4" w:space="1" w:color="auto"/>
        </w:pBdr>
        <w:tabs>
          <w:tab w:val="left" w:pos="709"/>
        </w:tabs>
        <w:spacing w:after="0"/>
        <w:jc w:val="left"/>
        <w:rPr>
          <w:rFonts w:cs="Arial"/>
          <w:lang w:val="en-US"/>
        </w:rPr>
      </w:pPr>
    </w:p>
    <w:p w14:paraId="6D9519F2" w14:textId="35536308" w:rsidR="007E2FC8" w:rsidRPr="00863065" w:rsidRDefault="007E2FC8" w:rsidP="007E2FC8">
      <w:pPr>
        <w:keepNext/>
        <w:pBdr>
          <w:top w:val="single" w:sz="4" w:space="1" w:color="auto"/>
        </w:pBdr>
        <w:tabs>
          <w:tab w:val="left" w:pos="2552"/>
        </w:tabs>
        <w:ind w:left="2550" w:hanging="2550"/>
        <w:rPr>
          <w:rFonts w:cs="Arial"/>
          <w:b/>
          <w:sz w:val="24"/>
        </w:rPr>
      </w:pPr>
      <w:r w:rsidRPr="00863065">
        <w:rPr>
          <w:rFonts w:cs="Arial"/>
          <w:b/>
          <w:sz w:val="24"/>
        </w:rPr>
        <w:t>Source:</w:t>
      </w:r>
      <w:r w:rsidR="002B674A">
        <w:rPr>
          <w:rFonts w:cs="Arial"/>
          <w:b/>
          <w:sz w:val="24"/>
        </w:rPr>
        <w:tab/>
      </w:r>
      <w:r>
        <w:rPr>
          <w:rFonts w:cs="Arial" w:hint="eastAsia"/>
          <w:b/>
          <w:sz w:val="24"/>
        </w:rPr>
        <w:t>NTT DOCOMO, INC.</w:t>
      </w:r>
    </w:p>
    <w:p w14:paraId="0C115227" w14:textId="1BB8C323" w:rsidR="007E2FC8" w:rsidRPr="00863065" w:rsidRDefault="007E2FC8" w:rsidP="002B674A">
      <w:pPr>
        <w:keepNext/>
        <w:pBdr>
          <w:top w:val="single" w:sz="4" w:space="1" w:color="auto"/>
        </w:pBdr>
        <w:tabs>
          <w:tab w:val="left" w:pos="2552"/>
        </w:tabs>
        <w:ind w:left="2550" w:hanging="2550"/>
        <w:rPr>
          <w:rFonts w:cs="Arial"/>
          <w:b/>
          <w:sz w:val="24"/>
        </w:rPr>
      </w:pPr>
      <w:r w:rsidRPr="00863065">
        <w:rPr>
          <w:rFonts w:cs="Arial"/>
          <w:b/>
          <w:sz w:val="24"/>
        </w:rPr>
        <w:t>Title:</w:t>
      </w:r>
      <w:r w:rsidR="002B674A">
        <w:rPr>
          <w:rFonts w:cs="Arial"/>
          <w:b/>
          <w:sz w:val="24"/>
        </w:rPr>
        <w:tab/>
      </w:r>
      <w:r w:rsidR="00F62D63" w:rsidRPr="00F62D63">
        <w:rPr>
          <w:rFonts w:cs="Arial"/>
          <w:b/>
          <w:sz w:val="24"/>
        </w:rPr>
        <w:t xml:space="preserve">Discussion on </w:t>
      </w:r>
      <w:bookmarkStart w:id="0" w:name="_Hlk166230719"/>
      <w:r w:rsidR="00EB4040" w:rsidRPr="00EB4040">
        <w:rPr>
          <w:rFonts w:cs="Arial"/>
          <w:b/>
          <w:sz w:val="24"/>
        </w:rPr>
        <w:t>random access-like procedure for Ambient IoT</w:t>
      </w:r>
      <w:bookmarkEnd w:id="0"/>
    </w:p>
    <w:p w14:paraId="0F8951C0" w14:textId="1D455ED6" w:rsidR="007E2FC8" w:rsidRPr="00863065" w:rsidRDefault="007E2FC8" w:rsidP="007E2FC8">
      <w:pPr>
        <w:keepNext/>
        <w:tabs>
          <w:tab w:val="left" w:pos="2552"/>
        </w:tabs>
        <w:rPr>
          <w:rFonts w:cs="Arial"/>
          <w:b/>
          <w:sz w:val="24"/>
        </w:rPr>
      </w:pPr>
      <w:r w:rsidRPr="00863065">
        <w:rPr>
          <w:rFonts w:cs="Arial"/>
          <w:b/>
          <w:sz w:val="24"/>
        </w:rPr>
        <w:t>Document for:</w:t>
      </w:r>
      <w:r w:rsidR="002B674A">
        <w:rPr>
          <w:rFonts w:cs="Arial"/>
          <w:b/>
          <w:sz w:val="24"/>
        </w:rPr>
        <w:tab/>
      </w:r>
      <w:r>
        <w:rPr>
          <w:rFonts w:cs="Arial" w:hint="eastAsia"/>
          <w:b/>
          <w:sz w:val="24"/>
        </w:rPr>
        <w:t>Discussion and decision</w:t>
      </w:r>
    </w:p>
    <w:p w14:paraId="2211F357" w14:textId="7D3FD0A5" w:rsidR="007E2FC8" w:rsidRPr="00863065" w:rsidRDefault="007E2FC8" w:rsidP="007E2FC8">
      <w:pPr>
        <w:keepNext/>
        <w:pBdr>
          <w:bottom w:val="single" w:sz="4" w:space="1" w:color="auto"/>
        </w:pBdr>
        <w:tabs>
          <w:tab w:val="left" w:pos="2552"/>
        </w:tabs>
        <w:rPr>
          <w:rFonts w:cs="Arial"/>
          <w:b/>
          <w:sz w:val="24"/>
        </w:rPr>
      </w:pPr>
      <w:r w:rsidRPr="00863065">
        <w:rPr>
          <w:rFonts w:cs="Arial"/>
          <w:b/>
          <w:sz w:val="24"/>
        </w:rPr>
        <w:t>Agenda Item:</w:t>
      </w:r>
      <w:r w:rsidR="002B674A">
        <w:rPr>
          <w:rFonts w:cs="Arial"/>
          <w:b/>
          <w:sz w:val="24"/>
        </w:rPr>
        <w:tab/>
      </w:r>
      <w:r w:rsidR="00F62D63">
        <w:rPr>
          <w:rFonts w:cs="Arial"/>
          <w:b/>
          <w:sz w:val="24"/>
        </w:rPr>
        <w:t>8</w:t>
      </w:r>
      <w:r>
        <w:rPr>
          <w:rFonts w:cs="Arial"/>
          <w:b/>
          <w:sz w:val="24"/>
        </w:rPr>
        <w:t>.</w:t>
      </w:r>
      <w:r w:rsidR="00903130">
        <w:rPr>
          <w:rFonts w:cs="Arial"/>
          <w:b/>
          <w:sz w:val="24"/>
        </w:rPr>
        <w:t>2</w:t>
      </w:r>
      <w:r>
        <w:rPr>
          <w:rFonts w:cs="Arial"/>
          <w:b/>
          <w:sz w:val="24"/>
        </w:rPr>
        <w:t>.</w:t>
      </w:r>
      <w:r w:rsidR="001624E5">
        <w:rPr>
          <w:rFonts w:cs="Arial"/>
          <w:b/>
          <w:sz w:val="24"/>
        </w:rPr>
        <w:t>5</w:t>
      </w:r>
    </w:p>
    <w:p w14:paraId="25B11A1D" w14:textId="77777777" w:rsidR="007E2FC8" w:rsidRDefault="007E2FC8" w:rsidP="007E2FC8">
      <w:pPr>
        <w:pStyle w:val="2"/>
        <w:numPr>
          <w:ilvl w:val="0"/>
          <w:numId w:val="1"/>
        </w:numPr>
        <w:rPr>
          <w:rFonts w:cs="Arial"/>
        </w:rPr>
      </w:pPr>
      <w:r w:rsidRPr="00863065">
        <w:rPr>
          <w:rFonts w:cs="Arial"/>
        </w:rPr>
        <w:t>Introduction</w:t>
      </w:r>
    </w:p>
    <w:p w14:paraId="16438548" w14:textId="0817FF34" w:rsidR="007E2FC8" w:rsidRPr="00262F8E" w:rsidRDefault="006E71B5" w:rsidP="007E2FC8">
      <w:pPr>
        <w:rPr>
          <w:szCs w:val="22"/>
        </w:rPr>
      </w:pPr>
      <w:bookmarkStart w:id="1" w:name="_Hlk166239463"/>
      <w:r>
        <w:rPr>
          <w:rFonts w:hint="eastAsia"/>
          <w:szCs w:val="22"/>
        </w:rPr>
        <w:t>T</w:t>
      </w:r>
      <w:r>
        <w:rPr>
          <w:szCs w:val="22"/>
        </w:rPr>
        <w:t xml:space="preserve">his contribution is to provide our views on </w:t>
      </w:r>
      <w:r w:rsidRPr="006E71B5">
        <w:rPr>
          <w:szCs w:val="22"/>
        </w:rPr>
        <w:t>random access-like procedure for Ambient IoT</w:t>
      </w:r>
      <w:r>
        <w:rPr>
          <w:szCs w:val="22"/>
        </w:rPr>
        <w:t>.</w:t>
      </w:r>
    </w:p>
    <w:bookmarkEnd w:id="1"/>
    <w:p w14:paraId="375CDE38" w14:textId="77777777" w:rsidR="007E2FC8" w:rsidRDefault="007E2FC8" w:rsidP="007E2FC8">
      <w:pPr>
        <w:pStyle w:val="2"/>
        <w:numPr>
          <w:ilvl w:val="0"/>
          <w:numId w:val="2"/>
        </w:numPr>
      </w:pPr>
      <w:r>
        <w:rPr>
          <w:rFonts w:hint="eastAsia"/>
        </w:rPr>
        <w:t>Discussion</w:t>
      </w:r>
    </w:p>
    <w:p w14:paraId="00C5D3A1" w14:textId="3F2539A4" w:rsidR="007E2FC8" w:rsidRDefault="006E71B5" w:rsidP="007E2FC8">
      <w:pPr>
        <w:pStyle w:val="2"/>
        <w:numPr>
          <w:ilvl w:val="1"/>
          <w:numId w:val="2"/>
        </w:numPr>
        <w:rPr>
          <w:rFonts w:cs="Arial"/>
        </w:rPr>
      </w:pPr>
      <w:r>
        <w:rPr>
          <w:rFonts w:cs="Arial" w:hint="eastAsia"/>
        </w:rPr>
        <w:t>C</w:t>
      </w:r>
      <w:r>
        <w:rPr>
          <w:rFonts w:cs="Arial"/>
        </w:rPr>
        <w:t>BRA and CFRA</w:t>
      </w:r>
    </w:p>
    <w:p w14:paraId="01F2FEF2" w14:textId="07D0329E" w:rsidR="007E2FC8" w:rsidRDefault="00892C8B" w:rsidP="007E2FC8">
      <w:pPr>
        <w:rPr>
          <w:bCs/>
          <w:szCs w:val="22"/>
        </w:rPr>
      </w:pPr>
      <w:r>
        <w:rPr>
          <w:rFonts w:hint="eastAsia"/>
          <w:bCs/>
          <w:szCs w:val="22"/>
        </w:rPr>
        <w:t>W</w:t>
      </w:r>
      <w:r>
        <w:rPr>
          <w:bCs/>
          <w:szCs w:val="22"/>
        </w:rPr>
        <w:t>e made a following agreement in the last meeting.</w:t>
      </w:r>
    </w:p>
    <w:tbl>
      <w:tblPr>
        <w:tblStyle w:val="aa"/>
        <w:tblW w:w="0" w:type="auto"/>
        <w:tblLook w:val="04A0" w:firstRow="1" w:lastRow="0" w:firstColumn="1" w:lastColumn="0" w:noHBand="0" w:noVBand="1"/>
      </w:tblPr>
      <w:tblGrid>
        <w:gridCol w:w="9629"/>
      </w:tblGrid>
      <w:tr w:rsidR="00892C8B" w14:paraId="56E2F4C2" w14:textId="77777777" w:rsidTr="00892C8B">
        <w:tc>
          <w:tcPr>
            <w:tcW w:w="9629" w:type="dxa"/>
          </w:tcPr>
          <w:p w14:paraId="4FA80626" w14:textId="77777777" w:rsidR="00892C8B" w:rsidRDefault="00892C8B" w:rsidP="007E2FC8">
            <w:pPr>
              <w:rPr>
                <w:bCs/>
                <w:szCs w:val="22"/>
              </w:rPr>
            </w:pPr>
            <w:r w:rsidRPr="00892C8B">
              <w:rPr>
                <w:rFonts w:hint="eastAsia"/>
                <w:b/>
                <w:szCs w:val="22"/>
                <w:u w:val="single"/>
              </w:rPr>
              <w:t>A</w:t>
            </w:r>
            <w:r w:rsidRPr="00892C8B">
              <w:rPr>
                <w:b/>
                <w:szCs w:val="22"/>
                <w:u w:val="single"/>
              </w:rPr>
              <w:t>greement in RAN2#125bis</w:t>
            </w:r>
            <w:r>
              <w:rPr>
                <w:bCs/>
                <w:szCs w:val="22"/>
              </w:rPr>
              <w:t xml:space="preserve"> [1]</w:t>
            </w:r>
          </w:p>
          <w:p w14:paraId="523BB030" w14:textId="322B60BC" w:rsidR="00892C8B" w:rsidRDefault="00892C8B" w:rsidP="007E2FC8">
            <w:pPr>
              <w:rPr>
                <w:bCs/>
                <w:szCs w:val="22"/>
              </w:rPr>
            </w:pPr>
            <w:r w:rsidRPr="00892C8B">
              <w:rPr>
                <w:bCs/>
                <w:szCs w:val="22"/>
              </w:rPr>
              <w:t xml:space="preserve">Study the solution and benefits of both 2-step like random access procedure and 4-step like random access procedure.  FFS the details on each procedure and how we call it.  </w:t>
            </w:r>
          </w:p>
        </w:tc>
      </w:tr>
    </w:tbl>
    <w:p w14:paraId="0573691E" w14:textId="49C145C5" w:rsidR="00892C8B" w:rsidRDefault="00892C8B" w:rsidP="007E2FC8">
      <w:pPr>
        <w:rPr>
          <w:bCs/>
          <w:szCs w:val="22"/>
        </w:rPr>
      </w:pPr>
      <w:r>
        <w:rPr>
          <w:bCs/>
          <w:szCs w:val="22"/>
        </w:rPr>
        <w:t>In this section we provide our understanding of the two different random access procedures and views on way to go.</w:t>
      </w:r>
    </w:p>
    <w:p w14:paraId="301AC875" w14:textId="16D81C74" w:rsidR="001130DD" w:rsidRDefault="001130DD" w:rsidP="007E2FC8">
      <w:pPr>
        <w:rPr>
          <w:bCs/>
          <w:szCs w:val="22"/>
        </w:rPr>
      </w:pPr>
      <w:r>
        <w:rPr>
          <w:rFonts w:hint="eastAsia"/>
          <w:bCs/>
          <w:szCs w:val="22"/>
        </w:rPr>
        <w:t>S</w:t>
      </w:r>
      <w:r>
        <w:rPr>
          <w:bCs/>
          <w:szCs w:val="22"/>
        </w:rPr>
        <w:t>ince the random access-like procedure is agnostic to Topology (i.e., does not care the Reader is BS or Intermediate node), we discuss only Topology 1 in this contribution.</w:t>
      </w:r>
    </w:p>
    <w:p w14:paraId="168F5EF1" w14:textId="65E17D72" w:rsidR="00892C8B" w:rsidRDefault="00892C8B" w:rsidP="007E2FC8">
      <w:pPr>
        <w:rPr>
          <w:bCs/>
          <w:szCs w:val="22"/>
        </w:rPr>
      </w:pPr>
      <w:r>
        <w:rPr>
          <w:bCs/>
          <w:szCs w:val="22"/>
        </w:rPr>
        <w:t>First we would like to provide an example of whole picture of call flows of the baseline procedure</w:t>
      </w:r>
      <w:r>
        <w:rPr>
          <w:rFonts w:hint="eastAsia"/>
          <w:bCs/>
          <w:szCs w:val="22"/>
        </w:rPr>
        <w:t xml:space="preserve"> </w:t>
      </w:r>
      <w:r>
        <w:rPr>
          <w:bCs/>
          <w:szCs w:val="22"/>
        </w:rPr>
        <w:t xml:space="preserve">for Inventory use case. Note that </w:t>
      </w:r>
      <w:r w:rsidR="00A81DC3">
        <w:rPr>
          <w:bCs/>
          <w:szCs w:val="22"/>
        </w:rPr>
        <w:t>the procedure and description</w:t>
      </w:r>
      <w:r>
        <w:rPr>
          <w:bCs/>
          <w:szCs w:val="22"/>
        </w:rPr>
        <w:t xml:space="preserve"> </w:t>
      </w:r>
      <w:r w:rsidR="002F6A35">
        <w:rPr>
          <w:bCs/>
          <w:szCs w:val="22"/>
        </w:rPr>
        <w:t>is</w:t>
      </w:r>
      <w:r>
        <w:rPr>
          <w:bCs/>
          <w:szCs w:val="22"/>
        </w:rPr>
        <w:t xml:space="preserve"> </w:t>
      </w:r>
      <w:r w:rsidR="00A81DC3">
        <w:rPr>
          <w:bCs/>
          <w:szCs w:val="22"/>
        </w:rPr>
        <w:t>captured</w:t>
      </w:r>
      <w:r>
        <w:rPr>
          <w:bCs/>
          <w:szCs w:val="22"/>
        </w:rPr>
        <w:t xml:space="preserve"> in another contribution [2] and we mentioned to other use cases</w:t>
      </w:r>
      <w:r w:rsidR="002F6A35">
        <w:rPr>
          <w:bCs/>
          <w:szCs w:val="22"/>
        </w:rPr>
        <w:t xml:space="preserve"> and topology 2 as well</w:t>
      </w:r>
      <w:r>
        <w:rPr>
          <w:bCs/>
          <w:szCs w:val="22"/>
        </w:rPr>
        <w:t xml:space="preserve"> in the Tdoc.</w:t>
      </w:r>
    </w:p>
    <w:tbl>
      <w:tblPr>
        <w:tblStyle w:val="aa"/>
        <w:tblW w:w="0" w:type="auto"/>
        <w:tblLook w:val="04A0" w:firstRow="1" w:lastRow="0" w:firstColumn="1" w:lastColumn="0" w:noHBand="0" w:noVBand="1"/>
      </w:tblPr>
      <w:tblGrid>
        <w:gridCol w:w="9629"/>
      </w:tblGrid>
      <w:tr w:rsidR="00A81DC3" w14:paraId="31E6F90C" w14:textId="77777777" w:rsidTr="00A81DC3">
        <w:tc>
          <w:tcPr>
            <w:tcW w:w="9629" w:type="dxa"/>
          </w:tcPr>
          <w:p w14:paraId="0A66952D" w14:textId="77777777" w:rsidR="00A81DC3" w:rsidRDefault="00A81DC3" w:rsidP="00A81DC3">
            <w:pPr>
              <w:rPr>
                <w:bCs/>
                <w:szCs w:val="22"/>
              </w:rPr>
            </w:pPr>
            <w:r>
              <w:rPr>
                <w:bCs/>
                <w:szCs w:val="22"/>
              </w:rPr>
              <w:t>Figure 1 depicts an example of baseline procedure where:</w:t>
            </w:r>
          </w:p>
          <w:p w14:paraId="1C75A602" w14:textId="77777777" w:rsidR="00A81DC3" w:rsidRPr="00EE79AE" w:rsidRDefault="00A81DC3" w:rsidP="00A81DC3">
            <w:pPr>
              <w:ind w:left="850" w:hangingChars="405" w:hanging="850"/>
              <w:rPr>
                <w:bCs/>
                <w:szCs w:val="22"/>
              </w:rPr>
            </w:pPr>
            <w:r w:rsidRPr="00EE79AE">
              <w:rPr>
                <w:rFonts w:hint="eastAsia"/>
                <w:bCs/>
                <w:szCs w:val="22"/>
              </w:rPr>
              <w:t>S</w:t>
            </w:r>
            <w:r w:rsidRPr="00EE79AE">
              <w:rPr>
                <w:bCs/>
                <w:szCs w:val="22"/>
              </w:rPr>
              <w:t>TEP 1:</w:t>
            </w:r>
            <w:r>
              <w:rPr>
                <w:bCs/>
                <w:szCs w:val="22"/>
              </w:rPr>
              <w:tab/>
            </w:r>
            <w:r w:rsidRPr="00EE79AE">
              <w:rPr>
                <w:bCs/>
                <w:szCs w:val="22"/>
              </w:rPr>
              <w:t>NG-AP message from CN to BS to indicate Initial Trigger Message. Target Device IDs or Device group IDs can be included.</w:t>
            </w:r>
          </w:p>
          <w:p w14:paraId="686E5937" w14:textId="77777777" w:rsidR="00A81DC3" w:rsidRPr="00EE79AE" w:rsidRDefault="00A81DC3" w:rsidP="00A81DC3">
            <w:pPr>
              <w:ind w:left="850" w:hangingChars="405" w:hanging="850"/>
              <w:rPr>
                <w:bCs/>
                <w:szCs w:val="22"/>
              </w:rPr>
            </w:pPr>
            <w:r w:rsidRPr="00EE79AE">
              <w:rPr>
                <w:rFonts w:hint="eastAsia"/>
                <w:bCs/>
                <w:szCs w:val="22"/>
              </w:rPr>
              <w:t>S</w:t>
            </w:r>
            <w:r w:rsidRPr="00EE79AE">
              <w:rPr>
                <w:bCs/>
                <w:szCs w:val="22"/>
              </w:rPr>
              <w:t>TEP 2:</w:t>
            </w:r>
            <w:r>
              <w:rPr>
                <w:bCs/>
                <w:szCs w:val="22"/>
              </w:rPr>
              <w:tab/>
            </w:r>
            <w:r w:rsidRPr="00EE79AE">
              <w:rPr>
                <w:bCs/>
                <w:szCs w:val="22"/>
              </w:rPr>
              <w:t>Initial Trigger Message from Ambient IoT Reader (BS) to Ambient IoT Devices. Target Device IDs or Device group IDs can be included.</w:t>
            </w:r>
          </w:p>
          <w:p w14:paraId="6C617F8D" w14:textId="77777777" w:rsidR="00A81DC3" w:rsidRDefault="00A81DC3" w:rsidP="00A81DC3">
            <w:pPr>
              <w:ind w:left="850" w:hangingChars="405" w:hanging="850"/>
              <w:rPr>
                <w:bCs/>
                <w:szCs w:val="22"/>
              </w:rPr>
            </w:pPr>
            <w:r w:rsidRPr="00EE79AE">
              <w:rPr>
                <w:rFonts w:hint="eastAsia"/>
                <w:bCs/>
                <w:szCs w:val="22"/>
              </w:rPr>
              <w:t>S</w:t>
            </w:r>
            <w:r w:rsidRPr="00EE79AE">
              <w:rPr>
                <w:bCs/>
                <w:szCs w:val="22"/>
              </w:rPr>
              <w:t>TEP 3:</w:t>
            </w:r>
            <w:r>
              <w:rPr>
                <w:bCs/>
                <w:szCs w:val="22"/>
              </w:rPr>
              <w:tab/>
              <w:t>If the Ambient IoT Device is indicated to respond in the Initial Trigger Message, Device sends the f</w:t>
            </w:r>
            <w:r w:rsidRPr="00EE79AE">
              <w:rPr>
                <w:bCs/>
                <w:szCs w:val="22"/>
              </w:rPr>
              <w:t>irst message from Device to Reader in random access-like procedure. According to an agreement in RAN2#125bis below, a permanent or temporary ID shall be included.</w:t>
            </w:r>
            <w:r>
              <w:rPr>
                <w:bCs/>
                <w:szCs w:val="22"/>
              </w:rPr>
              <w:t xml:space="preserve"> Definition of contention resolution in the slotted-ALOHA framework is up to RAN1 discussion.</w:t>
            </w:r>
          </w:p>
          <w:p w14:paraId="736725A0" w14:textId="77777777" w:rsidR="00A81DC3" w:rsidRDefault="00A81DC3" w:rsidP="00A81DC3">
            <w:pPr>
              <w:ind w:left="850" w:hangingChars="405" w:hanging="850"/>
              <w:rPr>
                <w:bCs/>
                <w:szCs w:val="22"/>
              </w:rPr>
            </w:pPr>
            <w:r>
              <w:rPr>
                <w:rFonts w:hint="eastAsia"/>
                <w:bCs/>
                <w:szCs w:val="22"/>
              </w:rPr>
              <w:t>S</w:t>
            </w:r>
            <w:r>
              <w:rPr>
                <w:bCs/>
                <w:szCs w:val="22"/>
              </w:rPr>
              <w:t>TEP 4:</w:t>
            </w:r>
            <w:r>
              <w:rPr>
                <w:bCs/>
                <w:szCs w:val="22"/>
              </w:rPr>
              <w:tab/>
              <w:t xml:space="preserve">If the Reader does not detect contention of the message in STEP 3, the Reader sends the message to report successful contention resolution. A </w:t>
            </w:r>
            <w:r w:rsidRPr="00EE79AE">
              <w:rPr>
                <w:bCs/>
                <w:szCs w:val="22"/>
              </w:rPr>
              <w:t xml:space="preserve">permanent or temporary ID </w:t>
            </w:r>
            <w:r>
              <w:rPr>
                <w:bCs/>
                <w:szCs w:val="22"/>
              </w:rPr>
              <w:t>can</w:t>
            </w:r>
            <w:r w:rsidRPr="00EE79AE">
              <w:rPr>
                <w:bCs/>
                <w:szCs w:val="22"/>
              </w:rPr>
              <w:t xml:space="preserve"> be included.</w:t>
            </w:r>
          </w:p>
          <w:p w14:paraId="571B706C" w14:textId="77777777" w:rsidR="00A81DC3" w:rsidRDefault="00A81DC3" w:rsidP="00A81DC3">
            <w:pPr>
              <w:ind w:left="850" w:hangingChars="405" w:hanging="850"/>
              <w:rPr>
                <w:bCs/>
                <w:szCs w:val="22"/>
              </w:rPr>
            </w:pPr>
            <w:r>
              <w:rPr>
                <w:rFonts w:hint="eastAsia"/>
                <w:bCs/>
                <w:szCs w:val="22"/>
              </w:rPr>
              <w:t>S</w:t>
            </w:r>
            <w:r>
              <w:rPr>
                <w:bCs/>
                <w:szCs w:val="22"/>
              </w:rPr>
              <w:t>TEP 5:</w:t>
            </w:r>
            <w:r>
              <w:rPr>
                <w:bCs/>
                <w:szCs w:val="22"/>
              </w:rPr>
              <w:tab/>
              <w:t>After successful completion of random access-like procedure, the Device is allocated with dedicated radio resources. With that resource the device sends a NAS(-like) message to the CN to report completion of random access-like procedure in the Reader. A temporary or permanent Device ID can</w:t>
            </w:r>
            <w:r w:rsidRPr="00EE79AE">
              <w:rPr>
                <w:bCs/>
                <w:szCs w:val="22"/>
              </w:rPr>
              <w:t xml:space="preserve"> be included.</w:t>
            </w:r>
          </w:p>
          <w:p w14:paraId="52B4BE78" w14:textId="77777777" w:rsidR="00A81DC3" w:rsidRPr="00EE79AE" w:rsidRDefault="00A81DC3" w:rsidP="00A81DC3">
            <w:pPr>
              <w:ind w:left="850" w:hangingChars="405" w:hanging="850"/>
              <w:rPr>
                <w:bCs/>
                <w:szCs w:val="22"/>
              </w:rPr>
            </w:pPr>
            <w:r>
              <w:rPr>
                <w:rFonts w:hint="eastAsia"/>
                <w:bCs/>
                <w:szCs w:val="22"/>
              </w:rPr>
              <w:t>S</w:t>
            </w:r>
            <w:r>
              <w:rPr>
                <w:bCs/>
                <w:szCs w:val="22"/>
              </w:rPr>
              <w:t>TEP 6: The BS transparently forwards the NAS(-like) message to the CN.</w:t>
            </w:r>
          </w:p>
          <w:p w14:paraId="7AFBD642" w14:textId="77777777" w:rsidR="00A81DC3" w:rsidRPr="00EE79AE" w:rsidRDefault="00A81DC3" w:rsidP="00A81DC3">
            <w:pPr>
              <w:ind w:left="850" w:hangingChars="405" w:hanging="850"/>
              <w:rPr>
                <w:bCs/>
                <w:szCs w:val="22"/>
              </w:rPr>
            </w:pPr>
          </w:p>
          <w:p w14:paraId="2A57ABEC" w14:textId="77777777" w:rsidR="00A81DC3" w:rsidRDefault="00A81DC3" w:rsidP="00A81DC3">
            <w:pPr>
              <w:jc w:val="center"/>
              <w:rPr>
                <w:bCs/>
                <w:szCs w:val="22"/>
              </w:rPr>
            </w:pPr>
            <w:r>
              <w:rPr>
                <w:bCs/>
                <w:noProof/>
                <w:szCs w:val="22"/>
              </w:rPr>
              <w:drawing>
                <wp:inline distT="0" distB="0" distL="0" distR="0" wp14:anchorId="2122EEF3" wp14:editId="543593F1">
                  <wp:extent cx="5572125" cy="398716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72125" cy="3987165"/>
                          </a:xfrm>
                          <a:prstGeom prst="rect">
                            <a:avLst/>
                          </a:prstGeom>
                          <a:noFill/>
                          <a:ln>
                            <a:noFill/>
                          </a:ln>
                        </pic:spPr>
                      </pic:pic>
                    </a:graphicData>
                  </a:graphic>
                </wp:inline>
              </w:drawing>
            </w:r>
          </w:p>
          <w:p w14:paraId="006B3FA6" w14:textId="77777777" w:rsidR="00A81DC3" w:rsidRPr="00982FE2" w:rsidRDefault="00A81DC3" w:rsidP="00A81DC3">
            <w:pPr>
              <w:jc w:val="center"/>
              <w:rPr>
                <w:b/>
                <w:szCs w:val="22"/>
              </w:rPr>
            </w:pPr>
            <w:r w:rsidRPr="00982FE2">
              <w:rPr>
                <w:rFonts w:hint="eastAsia"/>
                <w:b/>
                <w:szCs w:val="22"/>
              </w:rPr>
              <w:t>F</w:t>
            </w:r>
            <w:r w:rsidRPr="00982FE2">
              <w:rPr>
                <w:b/>
                <w:szCs w:val="22"/>
              </w:rPr>
              <w:t xml:space="preserve">igure 1: Example of baseline </w:t>
            </w:r>
            <w:r>
              <w:rPr>
                <w:b/>
                <w:szCs w:val="22"/>
              </w:rPr>
              <w:t>Inventory procedure with CBRA</w:t>
            </w:r>
            <w:r w:rsidRPr="00982FE2">
              <w:rPr>
                <w:b/>
                <w:szCs w:val="22"/>
              </w:rPr>
              <w:t xml:space="preserve"> for Topology 1</w:t>
            </w:r>
          </w:p>
          <w:tbl>
            <w:tblPr>
              <w:tblStyle w:val="aa"/>
              <w:tblW w:w="0" w:type="auto"/>
              <w:tblLook w:val="04A0" w:firstRow="1" w:lastRow="0" w:firstColumn="1" w:lastColumn="0" w:noHBand="0" w:noVBand="1"/>
            </w:tblPr>
            <w:tblGrid>
              <w:gridCol w:w="9403"/>
            </w:tblGrid>
            <w:tr w:rsidR="00A81DC3" w14:paraId="01D9F1EE" w14:textId="77777777" w:rsidTr="00D26F02">
              <w:tc>
                <w:tcPr>
                  <w:tcW w:w="9629" w:type="dxa"/>
                </w:tcPr>
                <w:p w14:paraId="2D757EA6" w14:textId="77777777" w:rsidR="00A81DC3" w:rsidRDefault="00A81DC3" w:rsidP="00A81DC3">
                  <w:pPr>
                    <w:rPr>
                      <w:bCs/>
                      <w:szCs w:val="22"/>
                    </w:rPr>
                  </w:pPr>
                  <w:r w:rsidRPr="00EE79AE">
                    <w:rPr>
                      <w:rFonts w:hint="eastAsia"/>
                      <w:b/>
                      <w:szCs w:val="22"/>
                      <w:u w:val="single"/>
                    </w:rPr>
                    <w:t>A</w:t>
                  </w:r>
                  <w:r w:rsidRPr="00EE79AE">
                    <w:rPr>
                      <w:b/>
                      <w:szCs w:val="22"/>
                      <w:u w:val="single"/>
                    </w:rPr>
                    <w:t>greement in RAN2#125bis</w:t>
                  </w:r>
                  <w:r>
                    <w:rPr>
                      <w:bCs/>
                      <w:szCs w:val="22"/>
                    </w:rPr>
                    <w:t xml:space="preserve"> [1]</w:t>
                  </w:r>
                </w:p>
                <w:p w14:paraId="0F887AC1" w14:textId="77777777" w:rsidR="00A81DC3" w:rsidRDefault="00A81DC3" w:rsidP="00A81DC3">
                  <w:pPr>
                    <w:rPr>
                      <w:bCs/>
                      <w:szCs w:val="22"/>
                    </w:rPr>
                  </w:pPr>
                  <w:r>
                    <w:rPr>
                      <w:rFonts w:ascii="Calibri" w:eastAsia="游ゴシック" w:hAnsi="Calibri" w:cs="Calibri"/>
                      <w:sz w:val="22"/>
                      <w:szCs w:val="22"/>
                    </w:rPr>
                    <w:t xml:space="preserve">For the very first access message from the device to reader in random access an ID is included.  RAN2 to discuss whether a temporary identifier is included, or the permanent device ID is included (considering other WGs input as well).   </w:t>
                  </w:r>
                </w:p>
              </w:tc>
            </w:tr>
          </w:tbl>
          <w:p w14:paraId="1307EB9F" w14:textId="77777777" w:rsidR="00A81DC3" w:rsidRDefault="00A81DC3" w:rsidP="007E2FC8">
            <w:pPr>
              <w:rPr>
                <w:bCs/>
                <w:szCs w:val="22"/>
              </w:rPr>
            </w:pPr>
          </w:p>
        </w:tc>
      </w:tr>
    </w:tbl>
    <w:p w14:paraId="2453BE4A" w14:textId="77777777" w:rsidR="00A81DC3" w:rsidRDefault="00A81DC3" w:rsidP="007E2FC8">
      <w:pPr>
        <w:rPr>
          <w:bCs/>
          <w:szCs w:val="22"/>
        </w:rPr>
      </w:pPr>
    </w:p>
    <w:p w14:paraId="28E35825" w14:textId="0C54B894" w:rsidR="002F6A35" w:rsidRDefault="002F6A35" w:rsidP="007E2FC8">
      <w:pPr>
        <w:rPr>
          <w:bCs/>
          <w:szCs w:val="22"/>
        </w:rPr>
      </w:pPr>
      <w:r>
        <w:rPr>
          <w:bCs/>
          <w:szCs w:val="22"/>
        </w:rPr>
        <w:t>In above procedure, the contention resolution procedure is conducted in STEP 3 and STEP 4. Therefore, we could say the baseline procedure above (or one with some modification) is CBRA.</w:t>
      </w:r>
    </w:p>
    <w:p w14:paraId="634BC37F" w14:textId="01273782" w:rsidR="002F6A35" w:rsidRDefault="002F6A35" w:rsidP="007E2FC8">
      <w:pPr>
        <w:rPr>
          <w:bCs/>
          <w:szCs w:val="22"/>
        </w:rPr>
      </w:pPr>
      <w:r>
        <w:rPr>
          <w:rFonts w:hint="eastAsia"/>
          <w:bCs/>
          <w:szCs w:val="22"/>
        </w:rPr>
        <w:t>O</w:t>
      </w:r>
      <w:r>
        <w:rPr>
          <w:bCs/>
          <w:szCs w:val="22"/>
        </w:rPr>
        <w:t>n the other hand, if only one Ambient IoT Device is targeted in the indication from the CN (STEP 1), there is no D2R messages from other devices to possibly collide with the D2R message from the targeted device, there is no need to conduct contention resolution. In this case, the Device can skip contention resolution (STEP 3 and STEP 4) and directly transmit UL NAS message in STEP 5. This procedure could be called CFRA.</w:t>
      </w:r>
    </w:p>
    <w:p w14:paraId="57849CBF" w14:textId="11BF2A7D" w:rsidR="002F6A35" w:rsidRDefault="002F6A35" w:rsidP="007E2FC8">
      <w:pPr>
        <w:rPr>
          <w:bCs/>
          <w:szCs w:val="22"/>
        </w:rPr>
      </w:pPr>
      <w:r>
        <w:rPr>
          <w:rFonts w:hint="eastAsia"/>
          <w:bCs/>
          <w:szCs w:val="22"/>
        </w:rPr>
        <w:t>F</w:t>
      </w:r>
      <w:r>
        <w:rPr>
          <w:bCs/>
          <w:szCs w:val="22"/>
        </w:rPr>
        <w:t>igure 2 depicts the procedure for CFRA</w:t>
      </w:r>
      <w:r w:rsidR="007F12ED">
        <w:rPr>
          <w:bCs/>
          <w:szCs w:val="22"/>
        </w:rPr>
        <w:t xml:space="preserve"> based on above discussion where:</w:t>
      </w:r>
    </w:p>
    <w:p w14:paraId="7EFAF96C" w14:textId="50B38112" w:rsidR="007F12ED" w:rsidRPr="00EE79AE" w:rsidRDefault="007F12ED" w:rsidP="007F12ED">
      <w:pPr>
        <w:ind w:left="850" w:hangingChars="405" w:hanging="850"/>
        <w:rPr>
          <w:bCs/>
          <w:szCs w:val="22"/>
        </w:rPr>
      </w:pPr>
      <w:r w:rsidRPr="00EE79AE">
        <w:rPr>
          <w:rFonts w:hint="eastAsia"/>
          <w:bCs/>
          <w:szCs w:val="22"/>
        </w:rPr>
        <w:t>S</w:t>
      </w:r>
      <w:r w:rsidRPr="00EE79AE">
        <w:rPr>
          <w:bCs/>
          <w:szCs w:val="22"/>
        </w:rPr>
        <w:t>TEP 1:</w:t>
      </w:r>
      <w:r>
        <w:rPr>
          <w:bCs/>
          <w:szCs w:val="22"/>
        </w:rPr>
        <w:tab/>
      </w:r>
      <w:r w:rsidRPr="00EE79AE">
        <w:rPr>
          <w:bCs/>
          <w:szCs w:val="22"/>
        </w:rPr>
        <w:t xml:space="preserve">NG-AP message from CN to BS to indicate Initial Trigger Message. </w:t>
      </w:r>
      <w:r>
        <w:rPr>
          <w:bCs/>
          <w:szCs w:val="22"/>
        </w:rPr>
        <w:t>If only one t</w:t>
      </w:r>
      <w:r w:rsidRPr="00EE79AE">
        <w:rPr>
          <w:bCs/>
          <w:szCs w:val="22"/>
        </w:rPr>
        <w:t>arget Device ID</w:t>
      </w:r>
      <w:r>
        <w:rPr>
          <w:bCs/>
          <w:szCs w:val="22"/>
        </w:rPr>
        <w:t xml:space="preserve"> is indicated in this message, the Ambient IoT Reader (BS) can determine to conduct CFRA and start following procedure</w:t>
      </w:r>
      <w:r w:rsidRPr="00EE79AE">
        <w:rPr>
          <w:bCs/>
          <w:szCs w:val="22"/>
        </w:rPr>
        <w:t>.</w:t>
      </w:r>
    </w:p>
    <w:p w14:paraId="7D3FB225" w14:textId="48312E1C" w:rsidR="007F12ED" w:rsidRPr="00EE79AE" w:rsidRDefault="007F12ED" w:rsidP="007F12ED">
      <w:pPr>
        <w:ind w:left="850" w:hangingChars="405" w:hanging="850"/>
        <w:rPr>
          <w:bCs/>
          <w:szCs w:val="22"/>
        </w:rPr>
      </w:pPr>
      <w:r w:rsidRPr="00EE79AE">
        <w:rPr>
          <w:rFonts w:hint="eastAsia"/>
          <w:bCs/>
          <w:szCs w:val="22"/>
        </w:rPr>
        <w:t>S</w:t>
      </w:r>
      <w:r w:rsidRPr="00EE79AE">
        <w:rPr>
          <w:bCs/>
          <w:szCs w:val="22"/>
        </w:rPr>
        <w:t>TEP 2:</w:t>
      </w:r>
      <w:r>
        <w:rPr>
          <w:bCs/>
          <w:szCs w:val="22"/>
        </w:rPr>
        <w:tab/>
      </w:r>
      <w:r w:rsidRPr="00EE79AE">
        <w:rPr>
          <w:bCs/>
          <w:szCs w:val="22"/>
        </w:rPr>
        <w:t>Initial Trigger Message from Ambient IoT Reader (BS) to Ambient IoT Devices. Target Device ID</w:t>
      </w:r>
      <w:r>
        <w:rPr>
          <w:bCs/>
          <w:szCs w:val="22"/>
        </w:rPr>
        <w:t xml:space="preserve"> is</w:t>
      </w:r>
      <w:r w:rsidRPr="00EE79AE">
        <w:rPr>
          <w:bCs/>
          <w:szCs w:val="22"/>
        </w:rPr>
        <w:t xml:space="preserve"> included.</w:t>
      </w:r>
    </w:p>
    <w:p w14:paraId="014FFA8D" w14:textId="0C29A049" w:rsidR="007F12ED" w:rsidRDefault="007F12ED" w:rsidP="007F12ED">
      <w:pPr>
        <w:ind w:left="850" w:hangingChars="405" w:hanging="850"/>
        <w:rPr>
          <w:bCs/>
          <w:szCs w:val="22"/>
        </w:rPr>
      </w:pPr>
      <w:r>
        <w:rPr>
          <w:rFonts w:hint="eastAsia"/>
          <w:bCs/>
          <w:szCs w:val="22"/>
        </w:rPr>
        <w:t>S</w:t>
      </w:r>
      <w:r>
        <w:rPr>
          <w:bCs/>
          <w:szCs w:val="22"/>
        </w:rPr>
        <w:t>TEP 3:</w:t>
      </w:r>
      <w:r>
        <w:rPr>
          <w:bCs/>
          <w:szCs w:val="22"/>
        </w:rPr>
        <w:tab/>
        <w:t>The Device sends a NAS(-like) message to the CN to report completion of random access-like procedure in the Reader. A temporary or permanent Device ID can</w:t>
      </w:r>
      <w:r w:rsidRPr="00EE79AE">
        <w:rPr>
          <w:bCs/>
          <w:szCs w:val="22"/>
        </w:rPr>
        <w:t xml:space="preserve"> be included.</w:t>
      </w:r>
    </w:p>
    <w:p w14:paraId="744B9CF4" w14:textId="72B7C106" w:rsidR="007F12ED" w:rsidRPr="00EE79AE" w:rsidRDefault="007F12ED" w:rsidP="007F12ED">
      <w:pPr>
        <w:ind w:left="850" w:hangingChars="405" w:hanging="850"/>
        <w:rPr>
          <w:bCs/>
          <w:szCs w:val="22"/>
        </w:rPr>
      </w:pPr>
      <w:r>
        <w:rPr>
          <w:rFonts w:hint="eastAsia"/>
          <w:bCs/>
          <w:szCs w:val="22"/>
        </w:rPr>
        <w:t>S</w:t>
      </w:r>
      <w:r>
        <w:rPr>
          <w:bCs/>
          <w:szCs w:val="22"/>
        </w:rPr>
        <w:t>TEP 4: The BS transparently forwards the NAS(-like) message to the CN.</w:t>
      </w:r>
    </w:p>
    <w:p w14:paraId="5D0BFDE4" w14:textId="5394874A" w:rsidR="002F6A35" w:rsidRDefault="007F12ED" w:rsidP="007F12ED">
      <w:pPr>
        <w:jc w:val="center"/>
        <w:rPr>
          <w:bCs/>
          <w:szCs w:val="22"/>
        </w:rPr>
      </w:pPr>
      <w:r>
        <w:rPr>
          <w:bCs/>
          <w:noProof/>
          <w:szCs w:val="22"/>
        </w:rPr>
        <w:lastRenderedPageBreak/>
        <w:drawing>
          <wp:inline distT="0" distB="0" distL="0" distR="0" wp14:anchorId="74A16417" wp14:editId="3EC98232">
            <wp:extent cx="5462270" cy="3133725"/>
            <wp:effectExtent l="0" t="0" r="5080" b="952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62270" cy="3133725"/>
                    </a:xfrm>
                    <a:prstGeom prst="rect">
                      <a:avLst/>
                    </a:prstGeom>
                    <a:noFill/>
                    <a:ln>
                      <a:noFill/>
                    </a:ln>
                  </pic:spPr>
                </pic:pic>
              </a:graphicData>
            </a:graphic>
          </wp:inline>
        </w:drawing>
      </w:r>
    </w:p>
    <w:p w14:paraId="4D392EB0" w14:textId="22C534D4" w:rsidR="007F12ED" w:rsidRPr="00982FE2" w:rsidRDefault="007F12ED" w:rsidP="007F12ED">
      <w:pPr>
        <w:jc w:val="center"/>
        <w:rPr>
          <w:b/>
          <w:szCs w:val="22"/>
        </w:rPr>
      </w:pPr>
      <w:r w:rsidRPr="00982FE2">
        <w:rPr>
          <w:rFonts w:hint="eastAsia"/>
          <w:b/>
          <w:szCs w:val="22"/>
        </w:rPr>
        <w:t>F</w:t>
      </w:r>
      <w:r w:rsidRPr="00982FE2">
        <w:rPr>
          <w:b/>
          <w:szCs w:val="22"/>
        </w:rPr>
        <w:t xml:space="preserve">igure </w:t>
      </w:r>
      <w:r>
        <w:rPr>
          <w:b/>
          <w:szCs w:val="22"/>
        </w:rPr>
        <w:t>2</w:t>
      </w:r>
      <w:r w:rsidRPr="00982FE2">
        <w:rPr>
          <w:b/>
          <w:szCs w:val="22"/>
        </w:rPr>
        <w:t xml:space="preserve">: Example of baseline </w:t>
      </w:r>
      <w:r>
        <w:rPr>
          <w:b/>
          <w:szCs w:val="22"/>
        </w:rPr>
        <w:t>Inventory procedure</w:t>
      </w:r>
      <w:r w:rsidRPr="00982FE2">
        <w:rPr>
          <w:b/>
          <w:szCs w:val="22"/>
        </w:rPr>
        <w:t xml:space="preserve"> </w:t>
      </w:r>
      <w:r>
        <w:rPr>
          <w:b/>
          <w:szCs w:val="22"/>
        </w:rPr>
        <w:t xml:space="preserve">with CFRA </w:t>
      </w:r>
      <w:r w:rsidRPr="00982FE2">
        <w:rPr>
          <w:b/>
          <w:szCs w:val="22"/>
        </w:rPr>
        <w:t>for Topology 1</w:t>
      </w:r>
    </w:p>
    <w:p w14:paraId="4DF1E78A" w14:textId="4259D9F4" w:rsidR="007F12ED" w:rsidRDefault="007F12ED" w:rsidP="007F12ED">
      <w:pPr>
        <w:pStyle w:val="ObservationandProposal"/>
      </w:pPr>
      <w:r>
        <w:rPr>
          <w:rFonts w:hint="eastAsia"/>
        </w:rPr>
        <w:t>P</w:t>
      </w:r>
      <w:r>
        <w:t xml:space="preserve">roposal </w:t>
      </w:r>
      <w:r w:rsidR="00CD2B21">
        <w:t>1</w:t>
      </w:r>
      <w:r>
        <w:t>.</w:t>
      </w:r>
      <w:r>
        <w:tab/>
        <w:t>Ambient IoT Reader can determine to conduct CFRA if the number of targeted devices indicated by the CN is one.</w:t>
      </w:r>
    </w:p>
    <w:p w14:paraId="00E9828E" w14:textId="262D67C1" w:rsidR="007F12ED" w:rsidRDefault="007F12ED" w:rsidP="007F12ED">
      <w:pPr>
        <w:pStyle w:val="ObservationandProposal"/>
      </w:pPr>
      <w:r>
        <w:t xml:space="preserve">Proposal </w:t>
      </w:r>
      <w:r w:rsidR="00CD2B21">
        <w:t>2</w:t>
      </w:r>
      <w:r>
        <w:t>.</w:t>
      </w:r>
      <w:r>
        <w:tab/>
        <w:t>Assume Figure 2 as baseline Inventory procedure with CFRA for Topology 1.</w:t>
      </w:r>
    </w:p>
    <w:p w14:paraId="1C01CAC3" w14:textId="77777777" w:rsidR="00472AE5" w:rsidRPr="0083168F" w:rsidRDefault="00472AE5" w:rsidP="007E2FC8">
      <w:pPr>
        <w:rPr>
          <w:bCs/>
          <w:szCs w:val="22"/>
        </w:rPr>
      </w:pPr>
    </w:p>
    <w:p w14:paraId="622B372B" w14:textId="347AD0A0" w:rsidR="007E2FC8" w:rsidRDefault="006E71B5" w:rsidP="007E2FC8">
      <w:pPr>
        <w:pStyle w:val="2"/>
        <w:numPr>
          <w:ilvl w:val="1"/>
          <w:numId w:val="2"/>
        </w:numPr>
        <w:rPr>
          <w:rFonts w:cs="Arial"/>
        </w:rPr>
      </w:pPr>
      <w:r>
        <w:rPr>
          <w:rFonts w:cs="Arial" w:hint="eastAsia"/>
        </w:rPr>
        <w:t>R</w:t>
      </w:r>
      <w:r>
        <w:rPr>
          <w:rFonts w:cs="Arial"/>
        </w:rPr>
        <w:t>andom access failure detection and retransmission</w:t>
      </w:r>
    </w:p>
    <w:p w14:paraId="55DAC792" w14:textId="65265826" w:rsidR="00220283" w:rsidRDefault="00220283" w:rsidP="007E2FC8">
      <w:pPr>
        <w:rPr>
          <w:szCs w:val="22"/>
        </w:rPr>
      </w:pPr>
      <w:r>
        <w:rPr>
          <w:rFonts w:hint="eastAsia"/>
          <w:szCs w:val="22"/>
        </w:rPr>
        <w:t>I</w:t>
      </w:r>
      <w:r>
        <w:rPr>
          <w:szCs w:val="22"/>
        </w:rPr>
        <w:t>n the baseline procedures e.g., Figure 1, every D2R or R2D message, i.e., STEP 2, 3, 4 and 5 cannot be reached to destination due to various reasons, for instance when the Device entered NLOS area temporarily. When the message lost happens the CN regards as the Device could not be found by the Reader.</w:t>
      </w:r>
      <w:r w:rsidR="002B71BB">
        <w:rPr>
          <w:szCs w:val="22"/>
        </w:rPr>
        <w:t xml:space="preserve"> </w:t>
      </w:r>
      <w:r>
        <w:rPr>
          <w:rFonts w:hint="eastAsia"/>
          <w:szCs w:val="22"/>
        </w:rPr>
        <w:t>C</w:t>
      </w:r>
      <w:r>
        <w:rPr>
          <w:szCs w:val="22"/>
        </w:rPr>
        <w:t>onsidering the Ambient IoT system may be deployed with high frequency bands than are easy to fade, it is beneficial to support retransmission functionality in random access procedure.</w:t>
      </w:r>
    </w:p>
    <w:p w14:paraId="7AB08160" w14:textId="45AF3140" w:rsidR="00CD2B21" w:rsidRDefault="002B71BB" w:rsidP="007E2FC8">
      <w:pPr>
        <w:rPr>
          <w:szCs w:val="22"/>
        </w:rPr>
      </w:pPr>
      <w:r>
        <w:rPr>
          <w:rFonts w:hint="eastAsia"/>
          <w:szCs w:val="22"/>
        </w:rPr>
        <w:t>O</w:t>
      </w:r>
      <w:r>
        <w:rPr>
          <w:szCs w:val="22"/>
        </w:rPr>
        <w:t xml:space="preserve">ne straightforward solution is </w:t>
      </w:r>
      <w:r w:rsidR="004D3A6C">
        <w:rPr>
          <w:szCs w:val="22"/>
        </w:rPr>
        <w:t>to</w:t>
      </w:r>
      <w:r>
        <w:rPr>
          <w:szCs w:val="22"/>
        </w:rPr>
        <w:t xml:space="preserve"> support failure detection in the Ambient IoT Reader and retransmission of Initial Trigger Message only targeting the failure devices.</w:t>
      </w:r>
    </w:p>
    <w:p w14:paraId="5422611E" w14:textId="153A5A8D" w:rsidR="002B71BB" w:rsidRDefault="002B71BB" w:rsidP="007E2FC8">
      <w:pPr>
        <w:rPr>
          <w:szCs w:val="22"/>
        </w:rPr>
      </w:pPr>
      <w:r>
        <w:rPr>
          <w:szCs w:val="22"/>
        </w:rPr>
        <w:t>Figure 3 provides two examples of where t</w:t>
      </w:r>
      <w:r w:rsidR="004D3A6C">
        <w:rPr>
          <w:szCs w:val="22"/>
        </w:rPr>
        <w:t>he Reader</w:t>
      </w:r>
      <w:r>
        <w:rPr>
          <w:szCs w:val="22"/>
        </w:rPr>
        <w:t xml:space="preserve"> detect</w:t>
      </w:r>
      <w:r w:rsidR="004D3A6C">
        <w:rPr>
          <w:szCs w:val="22"/>
        </w:rPr>
        <w:t>s</w:t>
      </w:r>
      <w:r>
        <w:rPr>
          <w:szCs w:val="22"/>
        </w:rPr>
        <w:t xml:space="preserve"> failure in the procedure.</w:t>
      </w:r>
    </w:p>
    <w:p w14:paraId="0C73B933" w14:textId="30D59846" w:rsidR="00220283" w:rsidRDefault="002B71BB" w:rsidP="007E2FC8">
      <w:pPr>
        <w:rPr>
          <w:szCs w:val="22"/>
        </w:rPr>
      </w:pPr>
      <w:r>
        <w:rPr>
          <w:noProof/>
          <w:szCs w:val="22"/>
        </w:rPr>
        <w:drawing>
          <wp:inline distT="0" distB="0" distL="0" distR="0" wp14:anchorId="4D6868BA" wp14:editId="101D0C60">
            <wp:extent cx="6142355" cy="2284616"/>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74873" cy="2296711"/>
                    </a:xfrm>
                    <a:prstGeom prst="rect">
                      <a:avLst/>
                    </a:prstGeom>
                    <a:noFill/>
                    <a:ln>
                      <a:noFill/>
                    </a:ln>
                  </pic:spPr>
                </pic:pic>
              </a:graphicData>
            </a:graphic>
          </wp:inline>
        </w:drawing>
      </w:r>
    </w:p>
    <w:p w14:paraId="5AF9F496" w14:textId="4C9C32E4" w:rsidR="00220283" w:rsidRPr="002B71BB" w:rsidRDefault="002B71BB" w:rsidP="002B71BB">
      <w:pPr>
        <w:jc w:val="center"/>
        <w:rPr>
          <w:b/>
          <w:bCs/>
          <w:szCs w:val="22"/>
        </w:rPr>
      </w:pPr>
      <w:r w:rsidRPr="002B71BB">
        <w:rPr>
          <w:rFonts w:hint="eastAsia"/>
          <w:b/>
          <w:bCs/>
          <w:szCs w:val="22"/>
        </w:rPr>
        <w:t>F</w:t>
      </w:r>
      <w:r w:rsidRPr="002B71BB">
        <w:rPr>
          <w:b/>
          <w:bCs/>
          <w:szCs w:val="22"/>
        </w:rPr>
        <w:t>igure 3: Comparison of failure detection point in random access-like procedure</w:t>
      </w:r>
    </w:p>
    <w:p w14:paraId="6C779E5F" w14:textId="08CBB592" w:rsidR="002B71BB" w:rsidRDefault="002B71BB" w:rsidP="007E2FC8">
      <w:pPr>
        <w:rPr>
          <w:szCs w:val="22"/>
        </w:rPr>
      </w:pPr>
      <w:r>
        <w:rPr>
          <w:rFonts w:hint="eastAsia"/>
          <w:szCs w:val="22"/>
        </w:rPr>
        <w:lastRenderedPageBreak/>
        <w:t>I</w:t>
      </w:r>
      <w:r>
        <w:rPr>
          <w:szCs w:val="22"/>
        </w:rPr>
        <w:t xml:space="preserve">n Figure 3, example (a) depicts the case where the Reader detects </w:t>
      </w:r>
      <w:r w:rsidR="004D3A6C">
        <w:rPr>
          <w:szCs w:val="22"/>
        </w:rPr>
        <w:t>missing messages from targeted Devices between after STEP 3, while example (b) is after STEP 5. Comparing these two, example (a) can detect the</w:t>
      </w:r>
      <w:r w:rsidR="002F4196">
        <w:rPr>
          <w:szCs w:val="22"/>
        </w:rPr>
        <w:t xml:space="preserve"> missing</w:t>
      </w:r>
      <w:r w:rsidR="004D3A6C">
        <w:rPr>
          <w:szCs w:val="22"/>
        </w:rPr>
        <w:t xml:space="preserve"> messages in STEP 2 and STEP 3 while example (b) can </w:t>
      </w:r>
      <w:r w:rsidR="002F4196">
        <w:rPr>
          <w:szCs w:val="22"/>
        </w:rPr>
        <w:t xml:space="preserve">also </w:t>
      </w:r>
      <w:r w:rsidR="004D3A6C">
        <w:rPr>
          <w:szCs w:val="22"/>
        </w:rPr>
        <w:t>detect STEP 4 and STEP 5.</w:t>
      </w:r>
      <w:r w:rsidR="002F4196">
        <w:rPr>
          <w:szCs w:val="22"/>
        </w:rPr>
        <w:t xml:space="preserve"> Therefore, we prefer to support the failure detection of later messages as much as possible.</w:t>
      </w:r>
    </w:p>
    <w:p w14:paraId="56EE419C" w14:textId="3C90962F" w:rsidR="002B71BB" w:rsidRDefault="002F4196" w:rsidP="007E2FC8">
      <w:pPr>
        <w:rPr>
          <w:szCs w:val="22"/>
        </w:rPr>
      </w:pPr>
      <w:r>
        <w:rPr>
          <w:rFonts w:hint="eastAsia"/>
          <w:szCs w:val="22"/>
        </w:rPr>
        <w:t>C</w:t>
      </w:r>
      <w:r>
        <w:rPr>
          <w:szCs w:val="22"/>
        </w:rPr>
        <w:t xml:space="preserve">onsidering above perspectives, we would like to </w:t>
      </w:r>
      <w:r w:rsidR="00CD2B21">
        <w:rPr>
          <w:szCs w:val="22"/>
        </w:rPr>
        <w:t xml:space="preserve">provide </w:t>
      </w:r>
      <w:r>
        <w:rPr>
          <w:szCs w:val="22"/>
        </w:rPr>
        <w:t xml:space="preserve">an example of failure detection and </w:t>
      </w:r>
      <w:r w:rsidR="00CD2B21">
        <w:rPr>
          <w:szCs w:val="22"/>
        </w:rPr>
        <w:t>retransmission of Initial Trigger Message in Figure 4.</w:t>
      </w:r>
      <w:r w:rsidR="00A81DC3">
        <w:rPr>
          <w:szCs w:val="22"/>
        </w:rPr>
        <w:t xml:space="preserve"> In this procedure, the Ambient IoT Reader detects missing messages for STEP 5 comparing with the list of devices targeted in STEP 2. After one baseline procedure completes, the Reader retransmits the Initial Trigger Message to missing Devices detected.</w:t>
      </w:r>
    </w:p>
    <w:p w14:paraId="397FAC35" w14:textId="09F8D49B" w:rsidR="00220283" w:rsidRDefault="00220283" w:rsidP="00220283">
      <w:pPr>
        <w:jc w:val="center"/>
        <w:rPr>
          <w:szCs w:val="22"/>
        </w:rPr>
      </w:pPr>
      <w:r>
        <w:rPr>
          <w:noProof/>
          <w:szCs w:val="22"/>
        </w:rPr>
        <w:drawing>
          <wp:inline distT="0" distB="0" distL="0" distR="0" wp14:anchorId="12A864A9" wp14:editId="441F908A">
            <wp:extent cx="5572125" cy="5858510"/>
            <wp:effectExtent l="0" t="0" r="0" b="889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72125" cy="5858510"/>
                    </a:xfrm>
                    <a:prstGeom prst="rect">
                      <a:avLst/>
                    </a:prstGeom>
                    <a:noFill/>
                    <a:ln>
                      <a:noFill/>
                    </a:ln>
                  </pic:spPr>
                </pic:pic>
              </a:graphicData>
            </a:graphic>
          </wp:inline>
        </w:drawing>
      </w:r>
    </w:p>
    <w:p w14:paraId="3FB89AE5" w14:textId="167FCA6E" w:rsidR="00220283" w:rsidRPr="00220283" w:rsidRDefault="00220283" w:rsidP="00220283">
      <w:pPr>
        <w:jc w:val="center"/>
        <w:rPr>
          <w:b/>
          <w:bCs/>
          <w:szCs w:val="22"/>
        </w:rPr>
      </w:pPr>
      <w:r w:rsidRPr="00220283">
        <w:rPr>
          <w:rFonts w:hint="eastAsia"/>
          <w:b/>
          <w:bCs/>
          <w:szCs w:val="22"/>
        </w:rPr>
        <w:t>F</w:t>
      </w:r>
      <w:r w:rsidRPr="00220283">
        <w:rPr>
          <w:b/>
          <w:bCs/>
          <w:szCs w:val="22"/>
        </w:rPr>
        <w:t xml:space="preserve">igure </w:t>
      </w:r>
      <w:r w:rsidR="00CD2B21">
        <w:rPr>
          <w:b/>
          <w:bCs/>
          <w:szCs w:val="22"/>
        </w:rPr>
        <w:t>4</w:t>
      </w:r>
      <w:r w:rsidRPr="00220283">
        <w:rPr>
          <w:b/>
          <w:bCs/>
          <w:szCs w:val="22"/>
        </w:rPr>
        <w:t>: Example of RA</w:t>
      </w:r>
      <w:r>
        <w:rPr>
          <w:b/>
          <w:bCs/>
          <w:szCs w:val="22"/>
        </w:rPr>
        <w:t>-like</w:t>
      </w:r>
      <w:r w:rsidRPr="00220283">
        <w:rPr>
          <w:b/>
          <w:bCs/>
          <w:szCs w:val="22"/>
        </w:rPr>
        <w:t xml:space="preserve"> failure detection and retransmission of Initial Trigger Message</w:t>
      </w:r>
    </w:p>
    <w:p w14:paraId="06FF7737" w14:textId="023BEA1D" w:rsidR="00CD2B21" w:rsidRDefault="00CD2B21" w:rsidP="00CD2B21">
      <w:pPr>
        <w:pStyle w:val="ObservationandProposal"/>
      </w:pPr>
      <w:r>
        <w:rPr>
          <w:rFonts w:hint="eastAsia"/>
        </w:rPr>
        <w:t>P</w:t>
      </w:r>
      <w:r>
        <w:t>roposal 3.</w:t>
      </w:r>
      <w:r>
        <w:tab/>
        <w:t>Ambient IoT Reader supports detection of missing D2R messages from devices targeted in the Initial Trigger Message.</w:t>
      </w:r>
    </w:p>
    <w:p w14:paraId="0B2F528F" w14:textId="09692B10" w:rsidR="00CD2B21" w:rsidRDefault="00CD2B21" w:rsidP="00CD2B21">
      <w:pPr>
        <w:pStyle w:val="ObservationandProposal"/>
      </w:pPr>
      <w:r>
        <w:rPr>
          <w:rFonts w:hint="eastAsia"/>
        </w:rPr>
        <w:t>P</w:t>
      </w:r>
      <w:r>
        <w:t>roposal 4.</w:t>
      </w:r>
      <w:r>
        <w:tab/>
        <w:t>Ambient IoT Reader supports retransmission of Initial Trigger Message for missing devices.</w:t>
      </w:r>
    </w:p>
    <w:p w14:paraId="23936337" w14:textId="4B50D868" w:rsidR="00CD2B21" w:rsidRDefault="00CD2B21" w:rsidP="00CD2B21">
      <w:pPr>
        <w:pStyle w:val="ObservationandProposal"/>
      </w:pPr>
      <w:r>
        <w:t>Proposal 5.</w:t>
      </w:r>
      <w:r>
        <w:tab/>
        <w:t>Assume Figure 4 as baseline procedure for random access-like failure detection and retransmission of Initial Trigger Message.</w:t>
      </w:r>
    </w:p>
    <w:p w14:paraId="5C937606" w14:textId="77777777" w:rsidR="00220283" w:rsidRPr="00262F8E" w:rsidRDefault="00220283" w:rsidP="007E2FC8">
      <w:pPr>
        <w:rPr>
          <w:szCs w:val="22"/>
        </w:rPr>
      </w:pPr>
    </w:p>
    <w:p w14:paraId="441C0605" w14:textId="48C040FE" w:rsidR="007E2FC8" w:rsidRPr="00CD2B21" w:rsidRDefault="007E2FC8" w:rsidP="007E2FC8">
      <w:pPr>
        <w:pStyle w:val="2"/>
        <w:numPr>
          <w:ilvl w:val="0"/>
          <w:numId w:val="2"/>
        </w:numPr>
        <w:rPr>
          <w:szCs w:val="22"/>
        </w:rPr>
      </w:pPr>
      <w:r>
        <w:rPr>
          <w:rFonts w:hint="eastAsia"/>
        </w:rPr>
        <w:t>Summary and proposal</w:t>
      </w:r>
    </w:p>
    <w:p w14:paraId="2291DB19" w14:textId="77777777" w:rsidR="00CD2B21" w:rsidRDefault="00CD2B21" w:rsidP="00CD2B21">
      <w:pPr>
        <w:pStyle w:val="ObservationandProposal"/>
      </w:pPr>
      <w:r>
        <w:rPr>
          <w:rFonts w:hint="eastAsia"/>
        </w:rPr>
        <w:t>P</w:t>
      </w:r>
      <w:r>
        <w:t>roposal 1.</w:t>
      </w:r>
      <w:r>
        <w:tab/>
        <w:t>Ambient IoT Reader can determine to conduct CFRA if the number of targeted devices indicated by the CN is one.</w:t>
      </w:r>
    </w:p>
    <w:p w14:paraId="508EFFD6" w14:textId="77777777" w:rsidR="00CD2B21" w:rsidRDefault="00CD2B21" w:rsidP="00CD2B21">
      <w:pPr>
        <w:pStyle w:val="ObservationandProposal"/>
      </w:pPr>
      <w:r>
        <w:t>Proposal 2.</w:t>
      </w:r>
      <w:r>
        <w:tab/>
        <w:t>Assume Figure 2 as baseline Inventory procedure with CFRA for Topology 1.</w:t>
      </w:r>
    </w:p>
    <w:p w14:paraId="7E1161F6" w14:textId="77777777" w:rsidR="00CD2B21" w:rsidRDefault="00CD2B21" w:rsidP="00CD2B21">
      <w:pPr>
        <w:pStyle w:val="ObservationandProposal"/>
      </w:pPr>
      <w:r>
        <w:rPr>
          <w:rFonts w:hint="eastAsia"/>
        </w:rPr>
        <w:t>P</w:t>
      </w:r>
      <w:r>
        <w:t>roposal 3.</w:t>
      </w:r>
      <w:r>
        <w:tab/>
        <w:t>Ambient IoT Reader supports detection of missing D2R messages from devices targeted in the Initial Trigger Message.</w:t>
      </w:r>
    </w:p>
    <w:p w14:paraId="7BE81313" w14:textId="77777777" w:rsidR="00CD2B21" w:rsidRDefault="00CD2B21" w:rsidP="00CD2B21">
      <w:pPr>
        <w:pStyle w:val="ObservationandProposal"/>
      </w:pPr>
      <w:r>
        <w:rPr>
          <w:rFonts w:hint="eastAsia"/>
        </w:rPr>
        <w:t>P</w:t>
      </w:r>
      <w:r>
        <w:t>roposal 4.</w:t>
      </w:r>
      <w:r>
        <w:tab/>
        <w:t>Ambient IoT Reader supports retransmission of Initial Trigger Message for missing devices.</w:t>
      </w:r>
    </w:p>
    <w:p w14:paraId="1130B1B9" w14:textId="77777777" w:rsidR="00CD2B21" w:rsidRDefault="00CD2B21" w:rsidP="00CD2B21">
      <w:pPr>
        <w:pStyle w:val="ObservationandProposal"/>
      </w:pPr>
      <w:r>
        <w:t>Proposal 5.</w:t>
      </w:r>
      <w:r>
        <w:tab/>
        <w:t>Assume Figure 4 as baseline procedure for random access-like failure detection and retransmission of Initial Trigger Message.</w:t>
      </w:r>
    </w:p>
    <w:p w14:paraId="021FD226" w14:textId="77777777" w:rsidR="00C97CFC" w:rsidRPr="00262F8E" w:rsidRDefault="00C97CFC" w:rsidP="007E2FC8">
      <w:pPr>
        <w:rPr>
          <w:szCs w:val="22"/>
        </w:rPr>
      </w:pPr>
    </w:p>
    <w:p w14:paraId="19CDB79A" w14:textId="77777777" w:rsidR="007E2FC8" w:rsidRPr="00863065" w:rsidRDefault="007E2FC8" w:rsidP="007E2FC8">
      <w:pPr>
        <w:pStyle w:val="2"/>
        <w:numPr>
          <w:ilvl w:val="0"/>
          <w:numId w:val="2"/>
        </w:numPr>
        <w:rPr>
          <w:rFonts w:cs="Arial"/>
        </w:rPr>
      </w:pPr>
      <w:r w:rsidRPr="00863065">
        <w:rPr>
          <w:rFonts w:cs="Arial"/>
        </w:rPr>
        <w:t>Reference</w:t>
      </w:r>
      <w:r>
        <w:rPr>
          <w:rFonts w:cs="Arial" w:hint="eastAsia"/>
        </w:rPr>
        <w:t>s</w:t>
      </w:r>
    </w:p>
    <w:p w14:paraId="48093E9F" w14:textId="77777777" w:rsidR="002F6A35" w:rsidRDefault="002F6A35" w:rsidP="002F6A35">
      <w:pPr>
        <w:pStyle w:val="Reference"/>
      </w:pPr>
      <w:r>
        <w:rPr>
          <w:rFonts w:hint="eastAsia"/>
        </w:rPr>
        <w:t>[1]</w:t>
      </w:r>
      <w:r>
        <w:tab/>
        <w:t>Chair notes, RAN2#125bis.</w:t>
      </w:r>
    </w:p>
    <w:p w14:paraId="25B42B6F" w14:textId="1C29F15C" w:rsidR="002F6A35" w:rsidRPr="00262F8E" w:rsidRDefault="002F6A35" w:rsidP="002F6A35">
      <w:pPr>
        <w:pStyle w:val="Reference"/>
      </w:pPr>
      <w:r>
        <w:rPr>
          <w:rFonts w:hint="eastAsia"/>
        </w:rPr>
        <w:t>[</w:t>
      </w:r>
      <w:r>
        <w:t>2]</w:t>
      </w:r>
      <w:r>
        <w:tab/>
        <w:t>R2-24</w:t>
      </w:r>
      <w:r w:rsidR="00A43317">
        <w:t>05598</w:t>
      </w:r>
      <w:r>
        <w:t>, “</w:t>
      </w:r>
      <w:r w:rsidRPr="00E50D30">
        <w:t>Discussion on Stage 2 aspects for Ambient IoT</w:t>
      </w:r>
      <w:r>
        <w:t>,” NTT DOCOMO, INC., RAN2#126.</w:t>
      </w:r>
    </w:p>
    <w:p w14:paraId="71FB5545" w14:textId="77777777" w:rsidR="008E5A66" w:rsidRPr="00262F8E" w:rsidRDefault="008E5A66">
      <w:pPr>
        <w:rPr>
          <w:szCs w:val="22"/>
        </w:rPr>
      </w:pPr>
    </w:p>
    <w:sectPr w:rsidR="008E5A66" w:rsidRPr="00262F8E">
      <w:foot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A6C55" w14:textId="77777777" w:rsidR="00490600" w:rsidRDefault="00490600" w:rsidP="007E2FC8">
      <w:pPr>
        <w:spacing w:after="0"/>
      </w:pPr>
      <w:r>
        <w:separator/>
      </w:r>
    </w:p>
    <w:p w14:paraId="027AB5BA" w14:textId="77777777" w:rsidR="00490600" w:rsidRDefault="00490600"/>
    <w:p w14:paraId="389A4091" w14:textId="77777777" w:rsidR="00490600" w:rsidRDefault="00490600" w:rsidP="00273403"/>
  </w:endnote>
  <w:endnote w:type="continuationSeparator" w:id="0">
    <w:p w14:paraId="287DF1BA" w14:textId="77777777" w:rsidR="00490600" w:rsidRDefault="00490600" w:rsidP="007E2FC8">
      <w:pPr>
        <w:spacing w:after="0"/>
      </w:pPr>
      <w:r>
        <w:continuationSeparator/>
      </w:r>
    </w:p>
    <w:p w14:paraId="02AF436B" w14:textId="77777777" w:rsidR="00490600" w:rsidRDefault="00490600"/>
    <w:p w14:paraId="18BA00FE" w14:textId="77777777" w:rsidR="00490600" w:rsidRDefault="00490600"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A2E8" w14:textId="77777777" w:rsidR="003C271A"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3C271A" w:rsidRDefault="003C271A">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D9CF" w14:textId="77777777" w:rsidR="003C271A"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238AF" w14:textId="77777777" w:rsidR="00490600" w:rsidRDefault="00490600" w:rsidP="007E2FC8">
      <w:pPr>
        <w:spacing w:after="0"/>
      </w:pPr>
      <w:r>
        <w:separator/>
      </w:r>
    </w:p>
    <w:p w14:paraId="63656365" w14:textId="77777777" w:rsidR="00490600" w:rsidRDefault="00490600"/>
    <w:p w14:paraId="43A30105" w14:textId="77777777" w:rsidR="00490600" w:rsidRDefault="00490600" w:rsidP="00273403"/>
  </w:footnote>
  <w:footnote w:type="continuationSeparator" w:id="0">
    <w:p w14:paraId="228B9EFA" w14:textId="77777777" w:rsidR="00490600" w:rsidRDefault="00490600" w:rsidP="007E2FC8">
      <w:pPr>
        <w:spacing w:after="0"/>
      </w:pPr>
      <w:r>
        <w:continuationSeparator/>
      </w:r>
    </w:p>
    <w:p w14:paraId="615EA1C1" w14:textId="77777777" w:rsidR="00490600" w:rsidRDefault="00490600"/>
    <w:p w14:paraId="06704727" w14:textId="77777777" w:rsidR="00490600" w:rsidRDefault="00490600"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16cid:durableId="866942341">
    <w:abstractNumId w:val="2"/>
  </w:num>
  <w:num w:numId="2" w16cid:durableId="1916432099">
    <w:abstractNumId w:val="0"/>
  </w:num>
  <w:num w:numId="3" w16cid:durableId="9611116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B6616"/>
    <w:rsid w:val="001130DD"/>
    <w:rsid w:val="001376E5"/>
    <w:rsid w:val="001624E5"/>
    <w:rsid w:val="00220283"/>
    <w:rsid w:val="00262F8E"/>
    <w:rsid w:val="00273403"/>
    <w:rsid w:val="002A5961"/>
    <w:rsid w:val="002B674A"/>
    <w:rsid w:val="002B71BB"/>
    <w:rsid w:val="002F4196"/>
    <w:rsid w:val="002F6A35"/>
    <w:rsid w:val="00385B37"/>
    <w:rsid w:val="003965B3"/>
    <w:rsid w:val="003C271A"/>
    <w:rsid w:val="00452602"/>
    <w:rsid w:val="00472AE5"/>
    <w:rsid w:val="00490600"/>
    <w:rsid w:val="004A3CEE"/>
    <w:rsid w:val="004D1B48"/>
    <w:rsid w:val="004D3A6C"/>
    <w:rsid w:val="004E6B03"/>
    <w:rsid w:val="004F6390"/>
    <w:rsid w:val="00506F4F"/>
    <w:rsid w:val="00537958"/>
    <w:rsid w:val="00564EF8"/>
    <w:rsid w:val="005839E2"/>
    <w:rsid w:val="005857F6"/>
    <w:rsid w:val="005F1EB4"/>
    <w:rsid w:val="005F73C8"/>
    <w:rsid w:val="006E71B5"/>
    <w:rsid w:val="00710F23"/>
    <w:rsid w:val="00786706"/>
    <w:rsid w:val="007E2FC8"/>
    <w:rsid w:val="007F12ED"/>
    <w:rsid w:val="0083168F"/>
    <w:rsid w:val="00875332"/>
    <w:rsid w:val="00892C8B"/>
    <w:rsid w:val="00896DC7"/>
    <w:rsid w:val="008C2D47"/>
    <w:rsid w:val="008E5A66"/>
    <w:rsid w:val="00903130"/>
    <w:rsid w:val="0092515C"/>
    <w:rsid w:val="009849E9"/>
    <w:rsid w:val="00A24864"/>
    <w:rsid w:val="00A32033"/>
    <w:rsid w:val="00A43317"/>
    <w:rsid w:val="00A54E92"/>
    <w:rsid w:val="00A81DC3"/>
    <w:rsid w:val="00AB422A"/>
    <w:rsid w:val="00B329A1"/>
    <w:rsid w:val="00B73E91"/>
    <w:rsid w:val="00C97CFC"/>
    <w:rsid w:val="00CC2A37"/>
    <w:rsid w:val="00CD2B21"/>
    <w:rsid w:val="00D40190"/>
    <w:rsid w:val="00D8679B"/>
    <w:rsid w:val="00D94041"/>
    <w:rsid w:val="00DB76B3"/>
    <w:rsid w:val="00DC13B3"/>
    <w:rsid w:val="00E2631E"/>
    <w:rsid w:val="00EB1AD1"/>
    <w:rsid w:val="00EB4040"/>
    <w:rsid w:val="00F560E5"/>
    <w:rsid w:val="00F62D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452602"/>
    <w:pPr>
      <w:ind w:left="424" w:hangingChars="202" w:hanging="424"/>
    </w:pPr>
    <w:rPr>
      <w:szCs w:val="22"/>
    </w:rPr>
  </w:style>
  <w:style w:type="paragraph" w:customStyle="1" w:styleId="ObservationandProposal">
    <w:name w:val="Observation and Proposal"/>
    <w:basedOn w:val="a"/>
    <w:link w:val="ObservationandProposal0"/>
    <w:qFormat/>
    <w:rsid w:val="00452602"/>
    <w:pPr>
      <w:ind w:left="1558" w:hangingChars="742" w:hanging="1558"/>
    </w:pPr>
    <w:rPr>
      <w:b/>
      <w:bCs/>
      <w:szCs w:val="22"/>
    </w:rPr>
  </w:style>
  <w:style w:type="character" w:customStyle="1" w:styleId="Reference0">
    <w:name w:val="Reference (文字)"/>
    <w:basedOn w:val="a0"/>
    <w:link w:val="Reference"/>
    <w:rsid w:val="00452602"/>
    <w:rPr>
      <w:szCs w:val="22"/>
    </w:rPr>
  </w:style>
  <w:style w:type="character" w:customStyle="1" w:styleId="ObservationandProposal0">
    <w:name w:val="Observation and Proposal (文字)"/>
    <w:basedOn w:val="a0"/>
    <w:link w:val="ObservationandProposal"/>
    <w:rsid w:val="00452602"/>
    <w:rPr>
      <w:b/>
      <w:bCs/>
      <w:szCs w:val="22"/>
    </w:rPr>
  </w:style>
  <w:style w:type="table" w:styleId="aa">
    <w:name w:val="Table Grid"/>
    <w:basedOn w:val="a1"/>
    <w:uiPriority w:val="39"/>
    <w:rsid w:val="00892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95FD40-BF1F-4E1D-87EB-D9B01DA869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5</Pages>
  <Words>1075</Words>
  <Characters>6132</Characters>
  <Application>Microsoft Office Word</Application>
  <DocSecurity>0</DocSecurity>
  <Lines>51</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Docomo - Riki Okawa</cp:lastModifiedBy>
  <cp:revision>36</cp:revision>
  <dcterms:created xsi:type="dcterms:W3CDTF">2021-10-20T07:13:00Z</dcterms:created>
  <dcterms:modified xsi:type="dcterms:W3CDTF">2024-05-10T08:48:00Z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